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94DCE" w14:textId="3EDBF6A4" w:rsidR="00065E28" w:rsidRDefault="00B7673D" w:rsidP="00F044A9">
      <w:pPr>
        <w:jc w:val="center"/>
        <w:rPr>
          <w:b/>
          <w:bCs/>
          <w:lang w:val="es-MX"/>
        </w:rPr>
      </w:pPr>
      <w:r w:rsidRPr="005F4521">
        <w:rPr>
          <w:b/>
          <w:bCs/>
          <w:lang w:val="es-MX"/>
        </w:rPr>
        <w:t xml:space="preserve">Cántico de las criaturas y </w:t>
      </w:r>
      <w:r w:rsidR="00EA3166" w:rsidRPr="005F4521">
        <w:rPr>
          <w:b/>
          <w:bCs/>
          <w:lang w:val="es-MX"/>
        </w:rPr>
        <w:t>T</w:t>
      </w:r>
      <w:r w:rsidRPr="005F4521">
        <w:rPr>
          <w:b/>
          <w:bCs/>
          <w:lang w:val="es-MX"/>
        </w:rPr>
        <w:t xml:space="preserve">emplo del </w:t>
      </w:r>
      <w:r w:rsidR="00EA3166" w:rsidRPr="005F4521">
        <w:rPr>
          <w:b/>
          <w:bCs/>
          <w:lang w:val="es-MX"/>
        </w:rPr>
        <w:t>S</w:t>
      </w:r>
      <w:r w:rsidRPr="005F4521">
        <w:rPr>
          <w:b/>
          <w:bCs/>
          <w:lang w:val="es-MX"/>
        </w:rPr>
        <w:t>ol</w:t>
      </w:r>
    </w:p>
    <w:p w14:paraId="13BF72D8" w14:textId="37AFB603" w:rsidR="00511B70" w:rsidRPr="005F4521" w:rsidRDefault="00511B70" w:rsidP="00F044A9">
      <w:pPr>
        <w:jc w:val="center"/>
        <w:rPr>
          <w:b/>
          <w:bCs/>
          <w:lang w:val="es-MX"/>
        </w:rPr>
      </w:pPr>
      <w:r>
        <w:rPr>
          <w:b/>
          <w:bCs/>
          <w:lang w:val="es-MX"/>
        </w:rPr>
        <w:t>Jesús Alfonso Flórez López</w:t>
      </w:r>
    </w:p>
    <w:p w14:paraId="278444FD" w14:textId="2232BB66" w:rsidR="00065E28" w:rsidRDefault="00065E28" w:rsidP="00DF12C1">
      <w:pPr>
        <w:jc w:val="both"/>
        <w:rPr>
          <w:lang w:val="es-MX"/>
        </w:rPr>
      </w:pPr>
      <w:r>
        <w:rPr>
          <w:lang w:val="es-MX"/>
        </w:rPr>
        <w:t>¿Qué se busca con la conmemoración de la destrucción de un sitio sagrado de los pueblos originarios de América?</w:t>
      </w:r>
    </w:p>
    <w:p w14:paraId="6DE94FFA" w14:textId="404DC69A" w:rsidR="00DC5267" w:rsidRDefault="00065E28" w:rsidP="00DF12C1">
      <w:pPr>
        <w:jc w:val="both"/>
        <w:rPr>
          <w:lang w:val="es-MX"/>
        </w:rPr>
      </w:pPr>
      <w:r>
        <w:rPr>
          <w:lang w:val="es-MX"/>
        </w:rPr>
        <w:t xml:space="preserve">Un acto de memoria </w:t>
      </w:r>
      <w:r w:rsidR="004C29C1">
        <w:rPr>
          <w:lang w:val="es-MX"/>
        </w:rPr>
        <w:t>sobre los hechos que se enmarcaron en la</w:t>
      </w:r>
      <w:r w:rsidR="008649D3">
        <w:rPr>
          <w:lang w:val="es-MX"/>
        </w:rPr>
        <w:t xml:space="preserve"> pretensión de </w:t>
      </w:r>
      <w:r w:rsidR="004C29C1">
        <w:rPr>
          <w:lang w:val="es-MX"/>
        </w:rPr>
        <w:t xml:space="preserve"> </w:t>
      </w:r>
      <w:r w:rsidR="00224B36">
        <w:rPr>
          <w:lang w:val="es-MX"/>
        </w:rPr>
        <w:t xml:space="preserve">borrar </w:t>
      </w:r>
      <w:r w:rsidR="00984A8B">
        <w:rPr>
          <w:lang w:val="es-MX"/>
        </w:rPr>
        <w:t xml:space="preserve">la historia cultural de los pueblos originarios, como es el caso de la </w:t>
      </w:r>
      <w:r w:rsidR="00224B36">
        <w:rPr>
          <w:lang w:val="es-MX"/>
        </w:rPr>
        <w:t xml:space="preserve">destrucción del denominado “Templo del Sol” de Sogamoso, </w:t>
      </w:r>
      <w:r>
        <w:rPr>
          <w:lang w:val="es-MX"/>
        </w:rPr>
        <w:t xml:space="preserve">debería hacerse desde una lógica </w:t>
      </w:r>
      <w:r w:rsidR="00F9001B">
        <w:rPr>
          <w:lang w:val="es-MX"/>
        </w:rPr>
        <w:t xml:space="preserve">no solo de “descolonización”, sino </w:t>
      </w:r>
      <w:r>
        <w:rPr>
          <w:lang w:val="es-MX"/>
        </w:rPr>
        <w:t xml:space="preserve">claramente anticolonial, lo que implica una no aceptación del proyecto colonial que sigue prolongándose en las mentes de las personas que finalmente quedaron insertas en la lógica de la </w:t>
      </w:r>
      <w:r w:rsidR="000C2520">
        <w:rPr>
          <w:lang w:val="es-MX"/>
        </w:rPr>
        <w:t xml:space="preserve"> occidentalización mediante la imposición de la </w:t>
      </w:r>
      <w:r>
        <w:rPr>
          <w:lang w:val="es-MX"/>
        </w:rPr>
        <w:t>cristiandad</w:t>
      </w:r>
      <w:r w:rsidR="001B1677">
        <w:rPr>
          <w:lang w:val="es-MX"/>
        </w:rPr>
        <w:t>.</w:t>
      </w:r>
    </w:p>
    <w:p w14:paraId="65A91960" w14:textId="77777777" w:rsidR="00517EBF" w:rsidRDefault="001B1677" w:rsidP="00DF12C1">
      <w:pPr>
        <w:jc w:val="both"/>
        <w:rPr>
          <w:lang w:val="es-MX"/>
        </w:rPr>
      </w:pPr>
      <w:r>
        <w:rPr>
          <w:lang w:val="es-MX"/>
        </w:rPr>
        <w:t>P</w:t>
      </w:r>
      <w:r w:rsidR="00456D08">
        <w:rPr>
          <w:lang w:val="es-MX"/>
        </w:rPr>
        <w:t xml:space="preserve">or consiguiente, estos ejercicios de memoria </w:t>
      </w:r>
      <w:r>
        <w:rPr>
          <w:lang w:val="es-MX"/>
        </w:rPr>
        <w:t xml:space="preserve"> debe</w:t>
      </w:r>
      <w:r w:rsidR="00C716AD">
        <w:rPr>
          <w:lang w:val="es-MX"/>
        </w:rPr>
        <w:t>n</w:t>
      </w:r>
      <w:r w:rsidR="005B29EA">
        <w:rPr>
          <w:lang w:val="es-MX"/>
        </w:rPr>
        <w:t xml:space="preserve"> contribuir a </w:t>
      </w:r>
      <w:r>
        <w:rPr>
          <w:lang w:val="es-MX"/>
        </w:rPr>
        <w:t xml:space="preserve"> emerger el pensamiento propio de quienes fueron sus creadores, </w:t>
      </w:r>
      <w:r w:rsidR="009D2AF7">
        <w:rPr>
          <w:lang w:val="es-MX"/>
        </w:rPr>
        <w:t xml:space="preserve"> es decir, de los </w:t>
      </w:r>
      <w:r w:rsidR="00517EBF">
        <w:rPr>
          <w:lang w:val="es-MX"/>
        </w:rPr>
        <w:t>herederos del Pueblo Muisca.</w:t>
      </w:r>
    </w:p>
    <w:p w14:paraId="684115E0" w14:textId="017B2E4D" w:rsidR="00505132" w:rsidRDefault="00517EBF" w:rsidP="00DF12C1">
      <w:pPr>
        <w:jc w:val="both"/>
        <w:rPr>
          <w:lang w:val="es-MX"/>
        </w:rPr>
      </w:pPr>
      <w:r>
        <w:rPr>
          <w:lang w:val="es-MX"/>
        </w:rPr>
        <w:t>Recordar que la memoria de la destrucción de dicho templo, como tantos otros, fue legitimad</w:t>
      </w:r>
      <w:r w:rsidR="003D1D42">
        <w:rPr>
          <w:lang w:val="es-MX"/>
        </w:rPr>
        <w:t>a</w:t>
      </w:r>
      <w:r>
        <w:rPr>
          <w:lang w:val="es-MX"/>
        </w:rPr>
        <w:t xml:space="preserve"> por el </w:t>
      </w:r>
      <w:r w:rsidR="00470FF2">
        <w:rPr>
          <w:lang w:val="es-MX"/>
        </w:rPr>
        <w:t xml:space="preserve">adoctrinamiento liderado, en la capital del Nuevo Reino de Granada, </w:t>
      </w:r>
      <w:r w:rsidR="004F4A33">
        <w:rPr>
          <w:lang w:val="es-MX"/>
        </w:rPr>
        <w:t>por la orden Franciscana</w:t>
      </w:r>
      <w:r w:rsidR="00505132">
        <w:rPr>
          <w:lang w:val="es-MX"/>
        </w:rPr>
        <w:t xml:space="preserve"> </w:t>
      </w:r>
      <w:r w:rsidR="00EE50E3">
        <w:rPr>
          <w:lang w:val="es-MX"/>
        </w:rPr>
        <w:t xml:space="preserve">por mandato de la monarquía, </w:t>
      </w:r>
      <w:r w:rsidR="009B3822">
        <w:rPr>
          <w:lang w:val="es-MX"/>
        </w:rPr>
        <w:t xml:space="preserve">a quien le rendían cuentas los </w:t>
      </w:r>
      <w:proofErr w:type="spellStart"/>
      <w:r w:rsidR="009B3822">
        <w:rPr>
          <w:lang w:val="es-MX"/>
        </w:rPr>
        <w:t>fayles</w:t>
      </w:r>
      <w:proofErr w:type="spellEnd"/>
      <w:r w:rsidR="009B3822">
        <w:rPr>
          <w:lang w:val="es-MX"/>
        </w:rPr>
        <w:t>:</w:t>
      </w:r>
    </w:p>
    <w:p w14:paraId="153E065F" w14:textId="4268CCBE" w:rsidR="009B3822" w:rsidRDefault="009B3822" w:rsidP="00A9687F">
      <w:pPr>
        <w:jc w:val="both"/>
        <w:rPr>
          <w:lang w:val="es-MX"/>
        </w:rPr>
      </w:pPr>
      <w:r w:rsidRPr="004F25E2">
        <w:t>"Por cumplir lo que vuestra Real Alteza nos tiene mandado cerca de la instrucción de los naturales, me pareció visitar toda esta tierra, lo cual he hecho, poniendo la doctrina evangélica por los pueblos anunciándoles el misterio de la cruz, destruyendo los lugares al enemigo de la naturaleza humana dedicados, edificando iglesias y en todas poniendo el trofeo de nuestra redención"</w:t>
      </w:r>
      <w:r w:rsidR="003743AF" w:rsidRPr="004F25E2">
        <w:rPr>
          <w:rStyle w:val="Refdenotaalpie"/>
        </w:rPr>
        <w:footnoteReference w:id="1"/>
      </w:r>
    </w:p>
    <w:p w14:paraId="4EDC9B08" w14:textId="7B87D5F8" w:rsidR="004F4A33" w:rsidRDefault="00271933" w:rsidP="00DF12C1">
      <w:pPr>
        <w:jc w:val="both"/>
        <w:rPr>
          <w:lang w:val="es-MX"/>
        </w:rPr>
      </w:pPr>
      <w:r>
        <w:rPr>
          <w:lang w:val="es-MX"/>
        </w:rPr>
        <w:t>Frente a esta labor de adoctrinamiento</w:t>
      </w:r>
      <w:r w:rsidR="00026479">
        <w:rPr>
          <w:lang w:val="es-MX"/>
        </w:rPr>
        <w:t xml:space="preserve"> basado en la destrucción de la tradición religiosa indígena</w:t>
      </w:r>
      <w:r w:rsidR="00FA19A8">
        <w:rPr>
          <w:lang w:val="es-MX"/>
        </w:rPr>
        <w:t xml:space="preserve">, los misioneros afrontaron </w:t>
      </w:r>
      <w:r w:rsidR="00227071">
        <w:rPr>
          <w:lang w:val="es-MX"/>
        </w:rPr>
        <w:t>una resistencia cultural de parte de los i</w:t>
      </w:r>
      <w:r w:rsidR="00125E47">
        <w:rPr>
          <w:lang w:val="es-MX"/>
        </w:rPr>
        <w:t xml:space="preserve">ndígenas adoctrinados, tal cual como </w:t>
      </w:r>
      <w:r w:rsidR="008E479D">
        <w:rPr>
          <w:lang w:val="es-MX"/>
        </w:rPr>
        <w:t>se lo relataban al rey en la misma misiva:</w:t>
      </w:r>
    </w:p>
    <w:p w14:paraId="7313DF50" w14:textId="6B36473C" w:rsidR="004F4A33" w:rsidRPr="00C14F2E" w:rsidRDefault="004F4A33" w:rsidP="00A9687F">
      <w:pPr>
        <w:jc w:val="both"/>
      </w:pPr>
      <w:r w:rsidRPr="004F25E2">
        <w:t>"Si alguna ocasión les dan, por liviana que sea, dejan la conversión de los cristianos y se van a sus pueblos, volviendo a los nefastos ritos de sus idolatrías y hacen escarnio de lo que entre nosotros han visto, contrahaciendo lo que en las iglesias se hace y aplicándolo a la veneración de sus santuarios e ídolos"</w:t>
      </w:r>
      <w:r w:rsidR="003743AF" w:rsidRPr="004F25E2">
        <w:rPr>
          <w:rStyle w:val="Refdenotaalpie"/>
        </w:rPr>
        <w:footnoteReference w:id="2"/>
      </w:r>
    </w:p>
    <w:p w14:paraId="01BEA817" w14:textId="681F322C" w:rsidR="00AB5546" w:rsidRDefault="00E63636" w:rsidP="00DF12C1">
      <w:pPr>
        <w:jc w:val="both"/>
      </w:pPr>
      <w:r>
        <w:rPr>
          <w:lang w:val="es-MX"/>
        </w:rPr>
        <w:t xml:space="preserve">Ese acto de rebeldía, </w:t>
      </w:r>
      <w:r w:rsidR="004A664E">
        <w:rPr>
          <w:lang w:val="es-MX"/>
        </w:rPr>
        <w:t xml:space="preserve">es el que ha permitido la pervivencia de la tradición </w:t>
      </w:r>
      <w:r w:rsidR="0043457A">
        <w:rPr>
          <w:lang w:val="es-MX"/>
        </w:rPr>
        <w:t>cultural del pueblo Muisca</w:t>
      </w:r>
      <w:r w:rsidR="00490815">
        <w:rPr>
          <w:lang w:val="es-MX"/>
        </w:rPr>
        <w:t xml:space="preserve"> como expresión de la lucha anticolonial</w:t>
      </w:r>
      <w:r w:rsidR="002C00DB">
        <w:rPr>
          <w:lang w:val="es-MX"/>
        </w:rPr>
        <w:t>, la cual en el presente</w:t>
      </w:r>
      <w:r w:rsidR="008C13B7">
        <w:rPr>
          <w:lang w:val="es-MX"/>
        </w:rPr>
        <w:t xml:space="preserve"> nos debe llevar a ser coherente con lo que significaba </w:t>
      </w:r>
      <w:r w:rsidR="001A0604">
        <w:rPr>
          <w:lang w:val="es-MX"/>
        </w:rPr>
        <w:t xml:space="preserve">el templo de </w:t>
      </w:r>
      <w:proofErr w:type="spellStart"/>
      <w:r w:rsidR="001A0604">
        <w:rPr>
          <w:lang w:val="es-MX"/>
        </w:rPr>
        <w:t>S</w:t>
      </w:r>
      <w:r w:rsidR="00433C73">
        <w:rPr>
          <w:lang w:val="es-MX"/>
        </w:rPr>
        <w:t>u</w:t>
      </w:r>
      <w:r w:rsidR="001A0604">
        <w:rPr>
          <w:lang w:val="es-MX"/>
        </w:rPr>
        <w:t>gamuxi</w:t>
      </w:r>
      <w:proofErr w:type="spellEnd"/>
      <w:r w:rsidR="001A0604">
        <w:rPr>
          <w:lang w:val="es-MX"/>
        </w:rPr>
        <w:t xml:space="preserve">, </w:t>
      </w:r>
      <w:r w:rsidR="005411A8">
        <w:rPr>
          <w:lang w:val="es-MX"/>
        </w:rPr>
        <w:t xml:space="preserve"> teniendo en cuenta que, </w:t>
      </w:r>
      <w:r w:rsidR="00AB5546">
        <w:rPr>
          <w:lang w:val="es-MX"/>
        </w:rPr>
        <w:t>“L</w:t>
      </w:r>
      <w:r w:rsidR="005411A8" w:rsidRPr="005411A8">
        <w:t xml:space="preserve">a sociedad muisca en el siglo </w:t>
      </w:r>
      <w:proofErr w:type="spellStart"/>
      <w:r w:rsidR="005411A8" w:rsidRPr="005411A8">
        <w:t>xvi</w:t>
      </w:r>
      <w:proofErr w:type="spellEnd"/>
      <w:r w:rsidR="005411A8" w:rsidRPr="005411A8">
        <w:t xml:space="preserve"> estaba constituida por un conjunto</w:t>
      </w:r>
      <w:r w:rsidR="005411A8">
        <w:t xml:space="preserve"> </w:t>
      </w:r>
      <w:r w:rsidR="005411A8" w:rsidRPr="005411A8">
        <w:t>de unidades políticas centralizadas en Bogotá, Tunja, Duitama,</w:t>
      </w:r>
      <w:r w:rsidR="005411A8">
        <w:t xml:space="preserve"> </w:t>
      </w:r>
      <w:r w:rsidR="005411A8" w:rsidRPr="005411A8">
        <w:t xml:space="preserve">Sogamoso y otras regiones independientes, siendo el </w:t>
      </w:r>
      <w:proofErr w:type="spellStart"/>
      <w:r w:rsidR="005411A8" w:rsidRPr="005411A8">
        <w:t>Sugamuxi</w:t>
      </w:r>
      <w:proofErr w:type="spellEnd"/>
      <w:r w:rsidR="005411A8" w:rsidRPr="005411A8">
        <w:t>, el supremo</w:t>
      </w:r>
      <w:r w:rsidR="005411A8">
        <w:t xml:space="preserve"> </w:t>
      </w:r>
      <w:r w:rsidR="005411A8" w:rsidRPr="005411A8">
        <w:t xml:space="preserve">jefe religioso, </w:t>
      </w:r>
      <w:r w:rsidR="005411A8" w:rsidRPr="005411A8">
        <w:lastRenderedPageBreak/>
        <w:t>quien se comunicaba en una lengua especial con</w:t>
      </w:r>
      <w:r w:rsidR="005411A8">
        <w:t xml:space="preserve"> </w:t>
      </w:r>
      <w:r w:rsidR="005411A8" w:rsidRPr="005411A8">
        <w:t>los otros sacerdotes, oficiaba las diferentes ceremonias revitalizadoras</w:t>
      </w:r>
      <w:r w:rsidR="005411A8">
        <w:t xml:space="preserve"> </w:t>
      </w:r>
      <w:r w:rsidR="005411A8" w:rsidRPr="005411A8">
        <w:t>de la sociedad y los rituales de enterramiento de los grandes caciques</w:t>
      </w:r>
      <w:r w:rsidR="004114D9">
        <w:t>”</w:t>
      </w:r>
      <w:r w:rsidR="001F39B4">
        <w:rPr>
          <w:rStyle w:val="Refdenotaalpie"/>
        </w:rPr>
        <w:footnoteReference w:id="3"/>
      </w:r>
      <w:r w:rsidR="00342DDB">
        <w:t>.</w:t>
      </w:r>
    </w:p>
    <w:p w14:paraId="2949ADD2" w14:textId="3F647665" w:rsidR="00A90525" w:rsidRDefault="00A90525" w:rsidP="00DF12C1">
      <w:pPr>
        <w:jc w:val="both"/>
        <w:rPr>
          <w:lang w:val="es-MX"/>
        </w:rPr>
      </w:pPr>
      <w:r>
        <w:rPr>
          <w:lang w:val="es-MX"/>
        </w:rPr>
        <w:t xml:space="preserve">Para una acción anticolonial se requiere alianzas, </w:t>
      </w:r>
      <w:r w:rsidR="006821EE">
        <w:rPr>
          <w:lang w:val="es-MX"/>
        </w:rPr>
        <w:t>que estén</w:t>
      </w:r>
      <w:r>
        <w:rPr>
          <w:lang w:val="es-MX"/>
        </w:rPr>
        <w:t xml:space="preserve"> en sintonía con la </w:t>
      </w:r>
      <w:r w:rsidR="005408BC">
        <w:rPr>
          <w:lang w:val="es-MX"/>
        </w:rPr>
        <w:t>transformación</w:t>
      </w:r>
      <w:r>
        <w:rPr>
          <w:lang w:val="es-MX"/>
        </w:rPr>
        <w:t xml:space="preserve"> de todas las formas de pensamiento e instituciones que siguen prolongando la condición colonialista, no para que se reposicionen con un supuesto discurso “decolonial”, que no pone en entredicho el sustento colonialista que no ha cesado de existir. </w:t>
      </w:r>
    </w:p>
    <w:p w14:paraId="4B858C53" w14:textId="75D5DE6A" w:rsidR="00F94EE1" w:rsidRDefault="00F94EE1" w:rsidP="00DF12C1">
      <w:pPr>
        <w:jc w:val="both"/>
        <w:rPr>
          <w:lang w:val="es-MX"/>
        </w:rPr>
      </w:pPr>
      <w:r>
        <w:rPr>
          <w:lang w:val="es-MX"/>
        </w:rPr>
        <w:t xml:space="preserve">En este contexto </w:t>
      </w:r>
      <w:r w:rsidR="00DD1110">
        <w:rPr>
          <w:lang w:val="es-MX"/>
        </w:rPr>
        <w:t xml:space="preserve">emerge el interrogante </w:t>
      </w:r>
      <w:r w:rsidR="002670A5">
        <w:rPr>
          <w:lang w:val="es-MX"/>
        </w:rPr>
        <w:t xml:space="preserve">sobre </w:t>
      </w:r>
      <w:r w:rsidR="00E90841">
        <w:rPr>
          <w:lang w:val="es-MX"/>
        </w:rPr>
        <w:t xml:space="preserve">el sentido de amalgamar esta memoria </w:t>
      </w:r>
      <w:r w:rsidR="00C20E90">
        <w:rPr>
          <w:lang w:val="es-MX"/>
        </w:rPr>
        <w:t>anticolonial con la memoria sobre el “Cántico de las criaturas”</w:t>
      </w:r>
      <w:r w:rsidR="006F038B">
        <w:rPr>
          <w:lang w:val="es-MX"/>
        </w:rPr>
        <w:t xml:space="preserve"> del fundador de la Orden misionera </w:t>
      </w:r>
      <w:r w:rsidR="00CA623D">
        <w:rPr>
          <w:lang w:val="es-MX"/>
        </w:rPr>
        <w:t xml:space="preserve"> Franciscana </w:t>
      </w:r>
      <w:r w:rsidR="006F038B">
        <w:rPr>
          <w:lang w:val="es-MX"/>
        </w:rPr>
        <w:t xml:space="preserve">que fundamentó el inicio del proceso de </w:t>
      </w:r>
      <w:r w:rsidR="00DB36E2">
        <w:rPr>
          <w:lang w:val="es-MX"/>
        </w:rPr>
        <w:t xml:space="preserve">destrucción cultural o etnocidio del pueblo Muisca. </w:t>
      </w:r>
    </w:p>
    <w:p w14:paraId="7BE2CD6D" w14:textId="4E6F7987" w:rsidR="00065E28" w:rsidRDefault="00F00098" w:rsidP="00DF12C1">
      <w:pPr>
        <w:jc w:val="both"/>
        <w:rPr>
          <w:lang w:val="es-MX"/>
        </w:rPr>
      </w:pPr>
      <w:r>
        <w:rPr>
          <w:lang w:val="es-MX"/>
        </w:rPr>
        <w:t>Puede haber una buena intención de releer hoy dicho poema  en la clave del discurso ambientalista, o “</w:t>
      </w:r>
      <w:proofErr w:type="spellStart"/>
      <w:r>
        <w:rPr>
          <w:lang w:val="es-MX"/>
        </w:rPr>
        <w:t>ecoteolgía</w:t>
      </w:r>
      <w:proofErr w:type="spellEnd"/>
      <w:r>
        <w:rPr>
          <w:lang w:val="es-MX"/>
        </w:rPr>
        <w:t>”,  como lo hiciera también el último Francisco, heredero del trono vaticano, con su discurso de la “Casa común”</w:t>
      </w:r>
      <w:r w:rsidR="007E498E">
        <w:rPr>
          <w:lang w:val="es-MX"/>
        </w:rPr>
        <w:t xml:space="preserve">, pero dejando intacta </w:t>
      </w:r>
      <w:r w:rsidR="00065E28">
        <w:rPr>
          <w:lang w:val="es-MX"/>
        </w:rPr>
        <w:t xml:space="preserve">la lógica soteriológica </w:t>
      </w:r>
      <w:r w:rsidR="000A2DD0">
        <w:rPr>
          <w:lang w:val="es-MX"/>
        </w:rPr>
        <w:t xml:space="preserve"> de la cristiandad </w:t>
      </w:r>
      <w:r w:rsidR="00065E28">
        <w:rPr>
          <w:lang w:val="es-MX"/>
        </w:rPr>
        <w:t xml:space="preserve">que sigue </w:t>
      </w:r>
      <w:r w:rsidR="000A2DD0">
        <w:rPr>
          <w:lang w:val="es-MX"/>
        </w:rPr>
        <w:t>justificando su proyecto expansionista</w:t>
      </w:r>
      <w:r w:rsidR="008F43FC">
        <w:rPr>
          <w:lang w:val="es-MX"/>
        </w:rPr>
        <w:t xml:space="preserve"> o colonialista </w:t>
      </w:r>
      <w:r w:rsidR="000A2DD0">
        <w:rPr>
          <w:lang w:val="es-MX"/>
        </w:rPr>
        <w:t xml:space="preserve">, no solo </w:t>
      </w:r>
      <w:r w:rsidR="00D42D69">
        <w:rPr>
          <w:lang w:val="es-MX"/>
        </w:rPr>
        <w:t>territorial</w:t>
      </w:r>
      <w:r w:rsidR="004D5926">
        <w:rPr>
          <w:lang w:val="es-MX"/>
        </w:rPr>
        <w:t xml:space="preserve"> </w:t>
      </w:r>
      <w:r w:rsidR="000A2DD0">
        <w:rPr>
          <w:lang w:val="es-MX"/>
        </w:rPr>
        <w:t xml:space="preserve">sino </w:t>
      </w:r>
      <w:r w:rsidR="00AC4BEE">
        <w:rPr>
          <w:lang w:val="es-MX"/>
        </w:rPr>
        <w:t>mental y espiritual.</w:t>
      </w:r>
    </w:p>
    <w:p w14:paraId="6F9FFF61" w14:textId="77777777" w:rsidR="005573FA" w:rsidRDefault="005573FA" w:rsidP="00DF12C1">
      <w:pPr>
        <w:jc w:val="both"/>
        <w:rPr>
          <w:lang w:val="es-MX"/>
        </w:rPr>
      </w:pPr>
    </w:p>
    <w:p w14:paraId="0C1AE20C" w14:textId="3E979EE1" w:rsidR="005573FA" w:rsidRDefault="005573FA" w:rsidP="00DF12C1">
      <w:pPr>
        <w:jc w:val="both"/>
        <w:rPr>
          <w:lang w:val="es-MX"/>
        </w:rPr>
      </w:pPr>
      <w:r>
        <w:rPr>
          <w:lang w:val="es-MX"/>
        </w:rPr>
        <w:t>Septiembre 4 de 2025</w:t>
      </w:r>
    </w:p>
    <w:p w14:paraId="76849B52" w14:textId="77777777" w:rsidR="00065E28" w:rsidRPr="001D22B4" w:rsidRDefault="00065E28" w:rsidP="00DF12C1">
      <w:pPr>
        <w:jc w:val="both"/>
        <w:rPr>
          <w:lang w:val="es-MX"/>
        </w:rPr>
      </w:pPr>
    </w:p>
    <w:p w14:paraId="5847916C" w14:textId="77777777" w:rsidR="00065E28" w:rsidRDefault="00065E28" w:rsidP="00DF12C1">
      <w:pPr>
        <w:jc w:val="both"/>
        <w:rPr>
          <w:lang w:val="es-MX"/>
        </w:rPr>
      </w:pPr>
    </w:p>
    <w:p w14:paraId="4CA2C728" w14:textId="77777777" w:rsidR="00065E28" w:rsidRDefault="00065E28" w:rsidP="00DF12C1">
      <w:pPr>
        <w:jc w:val="both"/>
        <w:rPr>
          <w:lang w:val="es-MX"/>
        </w:rPr>
      </w:pPr>
    </w:p>
    <w:p w14:paraId="1BBF2B17" w14:textId="77777777" w:rsidR="00065E28" w:rsidRPr="001D22B4" w:rsidRDefault="00065E28" w:rsidP="00DF12C1">
      <w:pPr>
        <w:jc w:val="both"/>
      </w:pPr>
    </w:p>
    <w:p w14:paraId="0FE4D7DE" w14:textId="77777777" w:rsidR="00065E28" w:rsidRPr="00B7673D" w:rsidRDefault="00065E28" w:rsidP="00DF12C1">
      <w:pPr>
        <w:jc w:val="both"/>
        <w:rPr>
          <w:lang w:val="es-MX"/>
        </w:rPr>
      </w:pPr>
    </w:p>
    <w:p w14:paraId="23484B7A" w14:textId="77777777" w:rsidR="001D22B4" w:rsidRDefault="001D22B4" w:rsidP="00DF12C1">
      <w:pPr>
        <w:jc w:val="both"/>
        <w:rPr>
          <w:lang w:val="es-MX"/>
        </w:rPr>
      </w:pPr>
    </w:p>
    <w:p w14:paraId="7AA09B9C" w14:textId="77777777" w:rsidR="001D22B4" w:rsidRDefault="001D22B4" w:rsidP="00DF12C1">
      <w:pPr>
        <w:jc w:val="both"/>
        <w:rPr>
          <w:lang w:val="es-MX"/>
        </w:rPr>
      </w:pPr>
    </w:p>
    <w:p w14:paraId="6F365E4E" w14:textId="77777777" w:rsidR="001D22B4" w:rsidRPr="001D22B4" w:rsidRDefault="001D22B4" w:rsidP="00DF12C1">
      <w:pPr>
        <w:jc w:val="both"/>
      </w:pPr>
    </w:p>
    <w:p w14:paraId="4E08F2B8" w14:textId="0BEF4300" w:rsidR="00B7673D" w:rsidRPr="00B7673D" w:rsidRDefault="00B7673D" w:rsidP="00DF12C1">
      <w:pPr>
        <w:jc w:val="both"/>
        <w:rPr>
          <w:lang w:val="es-MX"/>
        </w:rPr>
      </w:pPr>
    </w:p>
    <w:sectPr w:rsidR="00B7673D" w:rsidRPr="00B7673D">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E59A6" w14:textId="77777777" w:rsidR="001F39B4" w:rsidRDefault="001F39B4" w:rsidP="001F39B4">
      <w:pPr>
        <w:spacing w:after="0" w:line="240" w:lineRule="auto"/>
      </w:pPr>
      <w:r>
        <w:separator/>
      </w:r>
    </w:p>
  </w:endnote>
  <w:endnote w:type="continuationSeparator" w:id="0">
    <w:p w14:paraId="1F00F905" w14:textId="77777777" w:rsidR="001F39B4" w:rsidRDefault="001F39B4" w:rsidP="001F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381665"/>
      <w:docPartObj>
        <w:docPartGallery w:val="Page Numbers (Bottom of Page)"/>
        <w:docPartUnique/>
      </w:docPartObj>
    </w:sdtPr>
    <w:sdtEndPr/>
    <w:sdtContent>
      <w:p w14:paraId="325F98E3" w14:textId="752EE47A" w:rsidR="009918C6" w:rsidRDefault="009918C6">
        <w:pPr>
          <w:pStyle w:val="Piedepgina"/>
          <w:jc w:val="center"/>
        </w:pPr>
        <w:r>
          <w:fldChar w:fldCharType="begin"/>
        </w:r>
        <w:r>
          <w:instrText>PAGE   \* MERGEFORMAT</w:instrText>
        </w:r>
        <w:r>
          <w:fldChar w:fldCharType="separate"/>
        </w:r>
        <w:r>
          <w:rPr>
            <w:lang w:val="es-ES"/>
          </w:rPr>
          <w:t>2</w:t>
        </w:r>
        <w:r>
          <w:fldChar w:fldCharType="end"/>
        </w:r>
      </w:p>
    </w:sdtContent>
  </w:sdt>
  <w:p w14:paraId="156F0BA0" w14:textId="77777777" w:rsidR="009918C6" w:rsidRDefault="009918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4C81" w14:textId="77777777" w:rsidR="001F39B4" w:rsidRDefault="001F39B4" w:rsidP="001F39B4">
      <w:pPr>
        <w:spacing w:after="0" w:line="240" w:lineRule="auto"/>
      </w:pPr>
      <w:r>
        <w:separator/>
      </w:r>
    </w:p>
  </w:footnote>
  <w:footnote w:type="continuationSeparator" w:id="0">
    <w:p w14:paraId="6D2D9460" w14:textId="77777777" w:rsidR="001F39B4" w:rsidRDefault="001F39B4" w:rsidP="001F39B4">
      <w:pPr>
        <w:spacing w:after="0" w:line="240" w:lineRule="auto"/>
      </w:pPr>
      <w:r>
        <w:continuationSeparator/>
      </w:r>
    </w:p>
  </w:footnote>
  <w:footnote w:id="1">
    <w:p w14:paraId="3EA96ADE" w14:textId="2921488A" w:rsidR="002839C7" w:rsidRPr="00897F33" w:rsidRDefault="003743AF" w:rsidP="002839C7">
      <w:r>
        <w:rPr>
          <w:rStyle w:val="Refdenotaalpie"/>
        </w:rPr>
        <w:footnoteRef/>
      </w:r>
      <w:r>
        <w:t xml:space="preserve"> </w:t>
      </w:r>
      <w:r w:rsidR="002839C7" w:rsidRPr="005E3669">
        <w:rPr>
          <w:sz w:val="20"/>
          <w:szCs w:val="20"/>
        </w:rPr>
        <w:t>AGI, Tunja, fray Jerónimo de San Miguel, 11 de septiembre de 1551: f. 23r - 25r. Citado</w:t>
      </w:r>
      <w:r w:rsidR="00F10649" w:rsidRPr="005E3669">
        <w:rPr>
          <w:sz w:val="20"/>
          <w:szCs w:val="20"/>
        </w:rPr>
        <w:t xml:space="preserve"> por  Echeve</w:t>
      </w:r>
      <w:r w:rsidR="00AD48AD" w:rsidRPr="005E3669">
        <w:rPr>
          <w:sz w:val="20"/>
          <w:szCs w:val="20"/>
        </w:rPr>
        <w:t xml:space="preserve">rry Pérez Antonio José en: </w:t>
      </w:r>
      <w:r w:rsidR="00897F33" w:rsidRPr="005E3669">
        <w:rPr>
          <w:b/>
          <w:bCs/>
          <w:i/>
          <w:iCs/>
          <w:sz w:val="20"/>
          <w:szCs w:val="20"/>
        </w:rPr>
        <w:t xml:space="preserve">La custodia de San Juan Bautista y los primeros devenires franciscanos en el Nuevo Reino de Granada. </w:t>
      </w:r>
      <w:r w:rsidR="00897F33" w:rsidRPr="005E3669">
        <w:rPr>
          <w:b/>
          <w:bCs/>
          <w:sz w:val="20"/>
          <w:szCs w:val="20"/>
        </w:rPr>
        <w:t>Publicado en</w:t>
      </w:r>
      <w:r w:rsidR="003E18D4" w:rsidRPr="005E3669">
        <w:rPr>
          <w:b/>
          <w:bCs/>
          <w:sz w:val="20"/>
          <w:szCs w:val="20"/>
        </w:rPr>
        <w:t>:</w:t>
      </w:r>
      <w:r w:rsidR="005E3669" w:rsidRPr="005E3669">
        <w:rPr>
          <w:b/>
          <w:bCs/>
          <w:sz w:val="20"/>
          <w:szCs w:val="20"/>
        </w:rPr>
        <w:t xml:space="preserve"> </w:t>
      </w:r>
      <w:hyperlink r:id="rId1" w:anchor="_ftn*" w:history="1">
        <w:r w:rsidR="003E18D4" w:rsidRPr="005E3669">
          <w:rPr>
            <w:rStyle w:val="Hipervnculo"/>
            <w:b/>
            <w:bCs/>
            <w:sz w:val="20"/>
            <w:szCs w:val="20"/>
          </w:rPr>
          <w:t>revistas.uis.edu.co/index.php/anuariohistoria/article/download/3870/5122?inline=1#_ftn*</w:t>
        </w:r>
      </w:hyperlink>
    </w:p>
    <w:p w14:paraId="49835A55" w14:textId="04758A9D" w:rsidR="003743AF" w:rsidRDefault="003743AF">
      <w:pPr>
        <w:pStyle w:val="Textonotapie"/>
      </w:pPr>
    </w:p>
  </w:footnote>
  <w:footnote w:id="2">
    <w:p w14:paraId="1C57C182" w14:textId="07226F4F" w:rsidR="003743AF" w:rsidRDefault="003743AF">
      <w:pPr>
        <w:pStyle w:val="Textonotapie"/>
      </w:pPr>
      <w:r>
        <w:rPr>
          <w:rStyle w:val="Refdenotaalpie"/>
        </w:rPr>
        <w:footnoteRef/>
      </w:r>
      <w:r>
        <w:t xml:space="preserve"> </w:t>
      </w:r>
      <w:proofErr w:type="spellStart"/>
      <w:r w:rsidR="005E3669">
        <w:t>Idem</w:t>
      </w:r>
      <w:proofErr w:type="spellEnd"/>
    </w:p>
  </w:footnote>
  <w:footnote w:id="3">
    <w:p w14:paraId="30E301DF" w14:textId="16BBFB06" w:rsidR="001F39B4" w:rsidRDefault="001F39B4" w:rsidP="00E6405B">
      <w:pPr>
        <w:pStyle w:val="Textonotapie"/>
      </w:pPr>
      <w:r>
        <w:rPr>
          <w:rStyle w:val="Refdenotaalpie"/>
        </w:rPr>
        <w:footnoteRef/>
      </w:r>
      <w:r>
        <w:t xml:space="preserve"> </w:t>
      </w:r>
      <w:r w:rsidR="00A9687F">
        <w:t>Rodríguez</w:t>
      </w:r>
      <w:r w:rsidR="00993CBC">
        <w:t xml:space="preserve"> Cuenca José Vicente</w:t>
      </w:r>
      <w:r w:rsidR="00E6405B">
        <w:t xml:space="preserve">. </w:t>
      </w:r>
      <w:r w:rsidR="00E6405B" w:rsidRPr="00C22119">
        <w:t xml:space="preserve">Profesor Eliécer Silva Celis (1914-2007): un </w:t>
      </w:r>
      <w:proofErr w:type="spellStart"/>
      <w:r w:rsidR="00E6405B" w:rsidRPr="00C22119">
        <w:t>Sugamuxi</w:t>
      </w:r>
      <w:proofErr w:type="spellEnd"/>
      <w:r w:rsidR="00E6405B" w:rsidRPr="00C22119">
        <w:t xml:space="preserve"> dedicado a la causa muisca</w:t>
      </w:r>
      <w:r w:rsidR="009C3008" w:rsidRPr="00C22119">
        <w:t>. Revista</w:t>
      </w:r>
      <w:r w:rsidR="00425912">
        <w:t xml:space="preserve"> Maguaré</w:t>
      </w:r>
      <w:r w:rsidR="009C3008" w:rsidRPr="00C22119">
        <w:t xml:space="preserve"> </w:t>
      </w:r>
      <w:proofErr w:type="spellStart"/>
      <w:r w:rsidR="009C3008" w:rsidRPr="00C22119">
        <w:t>n.°</w:t>
      </w:r>
      <w:proofErr w:type="spellEnd"/>
      <w:r w:rsidR="009C3008" w:rsidRPr="00C22119">
        <w:t xml:space="preserve"> 21 · 2007 · </w:t>
      </w:r>
      <w:proofErr w:type="spellStart"/>
      <w:r w:rsidR="009C3008" w:rsidRPr="00C22119">
        <w:t>issn</w:t>
      </w:r>
      <w:proofErr w:type="spellEnd"/>
      <w:r w:rsidR="009C3008" w:rsidRPr="00C22119">
        <w:t xml:space="preserve"> 0120-3045 · páginas 111-127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3D"/>
    <w:rsid w:val="00026479"/>
    <w:rsid w:val="00065E28"/>
    <w:rsid w:val="000A2DD0"/>
    <w:rsid w:val="000C2520"/>
    <w:rsid w:val="000C609B"/>
    <w:rsid w:val="000C7A8F"/>
    <w:rsid w:val="00125E47"/>
    <w:rsid w:val="0018051C"/>
    <w:rsid w:val="001A0604"/>
    <w:rsid w:val="001B0FBC"/>
    <w:rsid w:val="001B1677"/>
    <w:rsid w:val="001D22B4"/>
    <w:rsid w:val="001F39B4"/>
    <w:rsid w:val="001F6369"/>
    <w:rsid w:val="00207215"/>
    <w:rsid w:val="00224B36"/>
    <w:rsid w:val="00227071"/>
    <w:rsid w:val="002670A5"/>
    <w:rsid w:val="00271933"/>
    <w:rsid w:val="002839C7"/>
    <w:rsid w:val="002A0D34"/>
    <w:rsid w:val="002C00DB"/>
    <w:rsid w:val="00316E31"/>
    <w:rsid w:val="00342DDB"/>
    <w:rsid w:val="003743AF"/>
    <w:rsid w:val="00380A63"/>
    <w:rsid w:val="003B4AB4"/>
    <w:rsid w:val="003B6076"/>
    <w:rsid w:val="003D1D42"/>
    <w:rsid w:val="003D5EF2"/>
    <w:rsid w:val="003E18D4"/>
    <w:rsid w:val="003F6573"/>
    <w:rsid w:val="004114D9"/>
    <w:rsid w:val="00411D89"/>
    <w:rsid w:val="00425912"/>
    <w:rsid w:val="00433C73"/>
    <w:rsid w:val="0043457A"/>
    <w:rsid w:val="00456D08"/>
    <w:rsid w:val="00470FF2"/>
    <w:rsid w:val="00490815"/>
    <w:rsid w:val="00496F2C"/>
    <w:rsid w:val="004A664E"/>
    <w:rsid w:val="004C29C1"/>
    <w:rsid w:val="004C3C2B"/>
    <w:rsid w:val="004D5926"/>
    <w:rsid w:val="004F25E2"/>
    <w:rsid w:val="004F4A33"/>
    <w:rsid w:val="00505132"/>
    <w:rsid w:val="0051127D"/>
    <w:rsid w:val="00511B70"/>
    <w:rsid w:val="00517EBF"/>
    <w:rsid w:val="005408BC"/>
    <w:rsid w:val="005411A8"/>
    <w:rsid w:val="005573FA"/>
    <w:rsid w:val="005B29EA"/>
    <w:rsid w:val="005E3669"/>
    <w:rsid w:val="005F4521"/>
    <w:rsid w:val="006821EE"/>
    <w:rsid w:val="006A54AA"/>
    <w:rsid w:val="006F038B"/>
    <w:rsid w:val="00752D2B"/>
    <w:rsid w:val="00764020"/>
    <w:rsid w:val="00787635"/>
    <w:rsid w:val="007E498E"/>
    <w:rsid w:val="008321BB"/>
    <w:rsid w:val="008649D3"/>
    <w:rsid w:val="00897F33"/>
    <w:rsid w:val="008C13B7"/>
    <w:rsid w:val="008E479D"/>
    <w:rsid w:val="008F43FC"/>
    <w:rsid w:val="00916E4F"/>
    <w:rsid w:val="00935886"/>
    <w:rsid w:val="009644AB"/>
    <w:rsid w:val="00984A8B"/>
    <w:rsid w:val="009918C6"/>
    <w:rsid w:val="00993CBC"/>
    <w:rsid w:val="009B3822"/>
    <w:rsid w:val="009C3008"/>
    <w:rsid w:val="009D2AF7"/>
    <w:rsid w:val="009E072F"/>
    <w:rsid w:val="00A37E48"/>
    <w:rsid w:val="00A7741F"/>
    <w:rsid w:val="00A90525"/>
    <w:rsid w:val="00A9687F"/>
    <w:rsid w:val="00AB0172"/>
    <w:rsid w:val="00AB5546"/>
    <w:rsid w:val="00AC25C4"/>
    <w:rsid w:val="00AC4BEE"/>
    <w:rsid w:val="00AD48AD"/>
    <w:rsid w:val="00B7673D"/>
    <w:rsid w:val="00C20E90"/>
    <w:rsid w:val="00C22119"/>
    <w:rsid w:val="00C27AE3"/>
    <w:rsid w:val="00C716AD"/>
    <w:rsid w:val="00CA623D"/>
    <w:rsid w:val="00CC1987"/>
    <w:rsid w:val="00D42D69"/>
    <w:rsid w:val="00D62B65"/>
    <w:rsid w:val="00DB36E2"/>
    <w:rsid w:val="00DC5267"/>
    <w:rsid w:val="00DD1110"/>
    <w:rsid w:val="00DE1A4B"/>
    <w:rsid w:val="00DF12C1"/>
    <w:rsid w:val="00DF76A4"/>
    <w:rsid w:val="00E25251"/>
    <w:rsid w:val="00E63636"/>
    <w:rsid w:val="00E6405B"/>
    <w:rsid w:val="00E90841"/>
    <w:rsid w:val="00EA3166"/>
    <w:rsid w:val="00EB1677"/>
    <w:rsid w:val="00EE50E3"/>
    <w:rsid w:val="00F00098"/>
    <w:rsid w:val="00F044A9"/>
    <w:rsid w:val="00F05013"/>
    <w:rsid w:val="00F10649"/>
    <w:rsid w:val="00F71E7A"/>
    <w:rsid w:val="00F82F86"/>
    <w:rsid w:val="00F9001B"/>
    <w:rsid w:val="00F94EE1"/>
    <w:rsid w:val="00FA19A8"/>
    <w:rsid w:val="00FF7F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C0BE3"/>
  <w15:chartTrackingRefBased/>
  <w15:docId w15:val="{5A3E31CF-C27C-487D-A992-08971A7F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67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767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7673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7673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7673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767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67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67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67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673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7673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7673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7673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7673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767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67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67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673D"/>
    <w:rPr>
      <w:rFonts w:eastAsiaTheme="majorEastAsia" w:cstheme="majorBidi"/>
      <w:color w:val="272727" w:themeColor="text1" w:themeTint="D8"/>
    </w:rPr>
  </w:style>
  <w:style w:type="paragraph" w:styleId="Ttulo">
    <w:name w:val="Title"/>
    <w:basedOn w:val="Normal"/>
    <w:next w:val="Normal"/>
    <w:link w:val="TtuloCar"/>
    <w:uiPriority w:val="10"/>
    <w:qFormat/>
    <w:rsid w:val="00B76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67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67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67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673D"/>
    <w:pPr>
      <w:spacing w:before="160"/>
      <w:jc w:val="center"/>
    </w:pPr>
    <w:rPr>
      <w:i/>
      <w:iCs/>
      <w:color w:val="404040" w:themeColor="text1" w:themeTint="BF"/>
    </w:rPr>
  </w:style>
  <w:style w:type="character" w:customStyle="1" w:styleId="CitaCar">
    <w:name w:val="Cita Car"/>
    <w:basedOn w:val="Fuentedeprrafopredeter"/>
    <w:link w:val="Cita"/>
    <w:uiPriority w:val="29"/>
    <w:rsid w:val="00B7673D"/>
    <w:rPr>
      <w:i/>
      <w:iCs/>
      <w:color w:val="404040" w:themeColor="text1" w:themeTint="BF"/>
    </w:rPr>
  </w:style>
  <w:style w:type="paragraph" w:styleId="Prrafodelista">
    <w:name w:val="List Paragraph"/>
    <w:basedOn w:val="Normal"/>
    <w:uiPriority w:val="34"/>
    <w:qFormat/>
    <w:rsid w:val="00B7673D"/>
    <w:pPr>
      <w:ind w:left="720"/>
      <w:contextualSpacing/>
    </w:pPr>
  </w:style>
  <w:style w:type="character" w:styleId="nfasisintenso">
    <w:name w:val="Intense Emphasis"/>
    <w:basedOn w:val="Fuentedeprrafopredeter"/>
    <w:uiPriority w:val="21"/>
    <w:qFormat/>
    <w:rsid w:val="00B7673D"/>
    <w:rPr>
      <w:i/>
      <w:iCs/>
      <w:color w:val="2F5496" w:themeColor="accent1" w:themeShade="BF"/>
    </w:rPr>
  </w:style>
  <w:style w:type="paragraph" w:styleId="Citadestacada">
    <w:name w:val="Intense Quote"/>
    <w:basedOn w:val="Normal"/>
    <w:next w:val="Normal"/>
    <w:link w:val="CitadestacadaCar"/>
    <w:uiPriority w:val="30"/>
    <w:qFormat/>
    <w:rsid w:val="00B76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7673D"/>
    <w:rPr>
      <w:i/>
      <w:iCs/>
      <w:color w:val="2F5496" w:themeColor="accent1" w:themeShade="BF"/>
    </w:rPr>
  </w:style>
  <w:style w:type="character" w:styleId="Referenciaintensa">
    <w:name w:val="Intense Reference"/>
    <w:basedOn w:val="Fuentedeprrafopredeter"/>
    <w:uiPriority w:val="32"/>
    <w:qFormat/>
    <w:rsid w:val="00B7673D"/>
    <w:rPr>
      <w:b/>
      <w:bCs/>
      <w:smallCaps/>
      <w:color w:val="2F5496" w:themeColor="accent1" w:themeShade="BF"/>
      <w:spacing w:val="5"/>
    </w:rPr>
  </w:style>
  <w:style w:type="character" w:styleId="Hipervnculo">
    <w:name w:val="Hyperlink"/>
    <w:basedOn w:val="Fuentedeprrafopredeter"/>
    <w:uiPriority w:val="99"/>
    <w:unhideWhenUsed/>
    <w:rsid w:val="004F4A33"/>
    <w:rPr>
      <w:color w:val="0563C1" w:themeColor="hyperlink"/>
      <w:u w:val="single"/>
    </w:rPr>
  </w:style>
  <w:style w:type="character" w:styleId="Hipervnculovisitado">
    <w:name w:val="FollowedHyperlink"/>
    <w:basedOn w:val="Fuentedeprrafopredeter"/>
    <w:uiPriority w:val="99"/>
    <w:semiHidden/>
    <w:unhideWhenUsed/>
    <w:rsid w:val="009B3822"/>
    <w:rPr>
      <w:color w:val="954F72" w:themeColor="followedHyperlink"/>
      <w:u w:val="single"/>
    </w:rPr>
  </w:style>
  <w:style w:type="paragraph" w:styleId="Textonotapie">
    <w:name w:val="footnote text"/>
    <w:basedOn w:val="Normal"/>
    <w:link w:val="TextonotapieCar"/>
    <w:uiPriority w:val="99"/>
    <w:semiHidden/>
    <w:unhideWhenUsed/>
    <w:rsid w:val="001F39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39B4"/>
    <w:rPr>
      <w:sz w:val="20"/>
      <w:szCs w:val="20"/>
    </w:rPr>
  </w:style>
  <w:style w:type="character" w:styleId="Refdenotaalpie">
    <w:name w:val="footnote reference"/>
    <w:basedOn w:val="Fuentedeprrafopredeter"/>
    <w:uiPriority w:val="99"/>
    <w:semiHidden/>
    <w:unhideWhenUsed/>
    <w:rsid w:val="001F39B4"/>
    <w:rPr>
      <w:vertAlign w:val="superscript"/>
    </w:rPr>
  </w:style>
  <w:style w:type="character" w:styleId="Mencinsinresolver">
    <w:name w:val="Unresolved Mention"/>
    <w:basedOn w:val="Fuentedeprrafopredeter"/>
    <w:uiPriority w:val="99"/>
    <w:semiHidden/>
    <w:unhideWhenUsed/>
    <w:rsid w:val="003E18D4"/>
    <w:rPr>
      <w:color w:val="605E5C"/>
      <w:shd w:val="clear" w:color="auto" w:fill="E1DFDD"/>
    </w:rPr>
  </w:style>
  <w:style w:type="paragraph" w:styleId="Encabezado">
    <w:name w:val="header"/>
    <w:basedOn w:val="Normal"/>
    <w:link w:val="EncabezadoCar"/>
    <w:uiPriority w:val="99"/>
    <w:unhideWhenUsed/>
    <w:rsid w:val="009918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18C6"/>
  </w:style>
  <w:style w:type="paragraph" w:styleId="Piedepgina">
    <w:name w:val="footer"/>
    <w:basedOn w:val="Normal"/>
    <w:link w:val="PiedepginaCar"/>
    <w:uiPriority w:val="99"/>
    <w:unhideWhenUsed/>
    <w:rsid w:val="009918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1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vistas.uis.edu.co/index.php/anuariohistoria/article/download/3870/5122?inline=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42C68-15A8-48BF-BD32-D4500650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591</Words>
  <Characters>3255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Alfonso Flórez López</dc:creator>
  <cp:keywords/>
  <dc:description/>
  <cp:lastModifiedBy>Jesús Alfonso Flórez López</cp:lastModifiedBy>
  <cp:revision>107</cp:revision>
  <dcterms:created xsi:type="dcterms:W3CDTF">2025-09-02T02:01:00Z</dcterms:created>
  <dcterms:modified xsi:type="dcterms:W3CDTF">2025-09-04T14:31:00Z</dcterms:modified>
</cp:coreProperties>
</file>